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FCB9" w14:textId="0B9ACF9D" w:rsidR="00F84CDE" w:rsidRDefault="00F84CDE" w:rsidP="00F84CD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106b-e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w:t>
      </w:r>
      <w:r w:rsidR="00D46882">
        <w:rPr>
          <w:rFonts w:ascii="Arial" w:hAnsi="Arial" w:cs="Arial"/>
          <w:b/>
          <w:bCs/>
        </w:rPr>
        <w:t>10034</w:t>
      </w:r>
    </w:p>
    <w:p w14:paraId="55EBFC21" w14:textId="77777777" w:rsidR="00F84CDE" w:rsidRPr="00210D4C" w:rsidRDefault="00F84CDE" w:rsidP="00F84CDE">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62F44E0" w14:textId="77777777" w:rsidR="00B77CEA" w:rsidRDefault="00B77CEA" w:rsidP="00311702">
      <w:pPr>
        <w:pStyle w:val="3GPPHeader"/>
      </w:pPr>
    </w:p>
    <w:p w14:paraId="5FB7E722" w14:textId="5B70EC8A" w:rsidR="00E90E49" w:rsidRPr="00764EBC" w:rsidRDefault="00E90E49" w:rsidP="00311702">
      <w:pPr>
        <w:pStyle w:val="3GPPHeader"/>
      </w:pPr>
      <w:r w:rsidRPr="00764EBC">
        <w:t>Agenda Item:</w:t>
      </w:r>
      <w:r w:rsidRPr="00764EBC">
        <w:tab/>
      </w:r>
      <w:r w:rsidR="004063E9">
        <w:t>8</w:t>
      </w:r>
      <w:r w:rsidR="0059035F">
        <w:t>.</w:t>
      </w:r>
      <w:r w:rsidR="004B7DF8">
        <w:t>4.</w:t>
      </w:r>
      <w:r w:rsidR="00D77029">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1FFEA714" w:rsidR="00531215" w:rsidRPr="00764EBC" w:rsidRDefault="003D3C45" w:rsidP="00311702">
      <w:pPr>
        <w:pStyle w:val="3GPPHeader"/>
      </w:pPr>
      <w:r w:rsidRPr="00764EBC">
        <w:t>Title:</w:t>
      </w:r>
      <w:r w:rsidR="00E90E49" w:rsidRPr="00764EBC">
        <w:tab/>
      </w:r>
      <w:r w:rsidR="00F84CDE">
        <w:t>Discussion o</w:t>
      </w:r>
      <w:r w:rsidR="009B2457">
        <w:t>n</w:t>
      </w:r>
      <w:r w:rsidR="00870CF0">
        <w:t xml:space="preserve"> </w:t>
      </w:r>
      <w:r w:rsidR="00D77029">
        <w:t>Other Aspects of NR</w:t>
      </w:r>
      <w:r w:rsidR="004063E9">
        <w:t xml:space="preserve">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0E4FA85" w14:textId="2E0A586D" w:rsidR="00395FA6" w:rsidRDefault="00395FA6" w:rsidP="0099637F">
      <w:pPr>
        <w:jc w:val="both"/>
      </w:pPr>
      <w:r>
        <w:t xml:space="preserve">According to NR NTN work item description </w:t>
      </w:r>
      <w:r>
        <w:fldChar w:fldCharType="begin"/>
      </w:r>
      <w:r>
        <w:instrText xml:space="preserve"> REF _Ref46861923 \r \h </w:instrText>
      </w:r>
      <w:r>
        <w:fldChar w:fldCharType="separate"/>
      </w:r>
      <w:r w:rsidR="005414DE">
        <w:t>[1]</w:t>
      </w:r>
      <w:r>
        <w:fldChar w:fldCharType="end"/>
      </w:r>
      <w:r>
        <w:t xml:space="preserve">, a list of RAN1 topics </w:t>
      </w:r>
      <w:r w:rsidR="0008668D">
        <w:t>is</w:t>
      </w:r>
      <w:r>
        <w:t xml:space="preserve"> to be specified if beneficial and needed. This includes enhancement on </w:t>
      </w:r>
      <w:r w:rsidR="002B6BB1">
        <w:t>polarization</w:t>
      </w:r>
      <w:r>
        <w:t xml:space="preserve">, beam management and BWP operation for NTN with frequency reuse. </w:t>
      </w:r>
    </w:p>
    <w:p w14:paraId="37BB5C96" w14:textId="77777777" w:rsidR="00395FA6" w:rsidRDefault="00395FA6" w:rsidP="0099637F">
      <w:pPr>
        <w:jc w:val="both"/>
      </w:pPr>
    </w:p>
    <w:p w14:paraId="272AE2DD" w14:textId="4E08AA0F" w:rsidR="0099637F" w:rsidRDefault="00395FA6" w:rsidP="0099637F">
      <w:pPr>
        <w:jc w:val="both"/>
      </w:pPr>
      <w:r>
        <w:t>The discussions on these topics in RAN1 #10</w:t>
      </w:r>
      <w:r w:rsidR="00F84CDE">
        <w:t>6</w:t>
      </w:r>
      <w:r>
        <w:t>-e meeting were summarized in</w:t>
      </w:r>
      <w:r w:rsidR="00870CF0">
        <w:t xml:space="preserve"> </w:t>
      </w:r>
      <w:r w:rsidR="00870CF0">
        <w:fldChar w:fldCharType="begin"/>
      </w:r>
      <w:r w:rsidR="00870CF0">
        <w:instrText xml:space="preserve"> REF _Ref60737901 \r \h </w:instrText>
      </w:r>
      <w:r w:rsidR="00870CF0">
        <w:fldChar w:fldCharType="separate"/>
      </w:r>
      <w:r w:rsidR="005414DE">
        <w:t>[2]</w:t>
      </w:r>
      <w:r w:rsidR="00870CF0">
        <w:fldChar w:fldCharType="end"/>
      </w:r>
      <w:r>
        <w:t>, and th</w:t>
      </w:r>
      <w:r w:rsidR="0099637F">
        <w:t>e following agreement ha</w:t>
      </w:r>
      <w:r w:rsidR="0008668D">
        <w:t>s</w:t>
      </w:r>
      <w:r w:rsidR="0099637F">
        <w:t xml:space="preserve"> been made in RAN1 </w:t>
      </w:r>
      <w:r>
        <w:t>#10</w:t>
      </w:r>
      <w:r w:rsidR="00F84CDE">
        <w:t>6</w:t>
      </w:r>
      <w:r>
        <w:t xml:space="preserve">-e </w:t>
      </w:r>
      <w:r w:rsidR="0099637F">
        <w:t xml:space="preserve">meeting </w:t>
      </w:r>
      <w:r w:rsidR="0099637F">
        <w:fldChar w:fldCharType="begin"/>
      </w:r>
      <w:r w:rsidR="0099637F">
        <w:instrText xml:space="preserve"> REF _Ref49784738 \r \h </w:instrText>
      </w:r>
      <w:r w:rsidR="0099637F">
        <w:fldChar w:fldCharType="separate"/>
      </w:r>
      <w:r w:rsidR="005414DE">
        <w:t>[3]</w:t>
      </w:r>
      <w:r w:rsidR="0099637F">
        <w:fldChar w:fldCharType="end"/>
      </w:r>
      <w:r>
        <w:t xml:space="preserve">. </w:t>
      </w:r>
    </w:p>
    <w:p w14:paraId="58B4B259" w14:textId="77777777" w:rsidR="0099637F" w:rsidRDefault="0099637F" w:rsidP="00B42AE4">
      <w:pPr>
        <w:jc w:val="both"/>
      </w:pPr>
    </w:p>
    <w:p w14:paraId="75070912" w14:textId="77777777" w:rsidR="00F84CDE" w:rsidRDefault="00F84CDE" w:rsidP="00F84CDE">
      <w:r w:rsidRPr="004B0939">
        <w:rPr>
          <w:highlight w:val="green"/>
        </w:rPr>
        <w:t>Agreement:</w:t>
      </w:r>
    </w:p>
    <w:p w14:paraId="29F400CF" w14:textId="77777777" w:rsidR="00F84CDE" w:rsidRDefault="00F84CDE" w:rsidP="00F84CDE">
      <w:pPr>
        <w:jc w:val="both"/>
      </w:pPr>
      <w:r>
        <w:t xml:space="preserve">When polarization </w:t>
      </w:r>
      <w:proofErr w:type="spellStart"/>
      <w:r>
        <w:t>signalling</w:t>
      </w:r>
      <w:proofErr w:type="spellEnd"/>
      <w:r>
        <w:t xml:space="preserve"> is present in SIB</w:t>
      </w:r>
    </w:p>
    <w:p w14:paraId="10CFD60D" w14:textId="77777777" w:rsidR="00F84CDE" w:rsidRDefault="00F84CDE" w:rsidP="00F84CDE">
      <w:pPr>
        <w:numPr>
          <w:ilvl w:val="0"/>
          <w:numId w:val="33"/>
        </w:numPr>
        <w:jc w:val="both"/>
      </w:pPr>
      <w:r>
        <w:t>SIB indicates DL and/or UL polarization information using respective polarization type parameters to indicate: RHCP or LHCP or linear</w:t>
      </w:r>
    </w:p>
    <w:p w14:paraId="105363D4" w14:textId="77777777" w:rsidR="00F84CDE" w:rsidRDefault="00F84CDE" w:rsidP="00F84CDE">
      <w:pPr>
        <w:numPr>
          <w:ilvl w:val="0"/>
          <w:numId w:val="33"/>
        </w:numPr>
        <w:jc w:val="both"/>
      </w:pPr>
      <w:r>
        <w:t xml:space="preserve">FFS: whether polarization </w:t>
      </w:r>
      <w:proofErr w:type="spellStart"/>
      <w:r>
        <w:t>signalling</w:t>
      </w:r>
      <w:proofErr w:type="spellEnd"/>
      <w:r>
        <w:t xml:space="preserve"> is per SSB</w:t>
      </w:r>
    </w:p>
    <w:p w14:paraId="30672A21" w14:textId="6AB6225D" w:rsidR="00EC0D2F" w:rsidRPr="00E75532" w:rsidRDefault="00EC0D2F" w:rsidP="00416D56">
      <w:pPr>
        <w:jc w:val="both"/>
        <w:rPr>
          <w:szCs w:val="20"/>
        </w:rPr>
      </w:pPr>
    </w:p>
    <w:p w14:paraId="05E5CF06" w14:textId="47AC38CF"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w:t>
      </w:r>
      <w:r w:rsidR="0099637F">
        <w:rPr>
          <w:szCs w:val="20"/>
        </w:rPr>
        <w:t xml:space="preserve"> </w:t>
      </w:r>
      <w:r w:rsidR="004544A0">
        <w:rPr>
          <w:szCs w:val="20"/>
        </w:rPr>
        <w:t xml:space="preserve">the </w:t>
      </w:r>
      <w:r w:rsidR="00BE622F">
        <w:rPr>
          <w:szCs w:val="20"/>
        </w:rPr>
        <w:t>potential beam management enhancement</w:t>
      </w:r>
      <w:r w:rsidR="00F7060A">
        <w:rPr>
          <w:szCs w:val="20"/>
        </w:rPr>
        <w:t xml:space="preserve"> and signaling of polarization information</w:t>
      </w:r>
      <w:r>
        <w:rPr>
          <w:szCs w:val="20"/>
        </w:rPr>
        <w:t>.</w:t>
      </w:r>
    </w:p>
    <w:p w14:paraId="407F451F" w14:textId="4770A02B" w:rsidR="00416D56" w:rsidRDefault="00EA5A5B" w:rsidP="00416D56">
      <w:pPr>
        <w:pStyle w:val="Heading1"/>
      </w:pPr>
      <w:r>
        <w:t>Discussion</w:t>
      </w:r>
    </w:p>
    <w:p w14:paraId="54BD0B67" w14:textId="6B70C0E5" w:rsidR="00BF47BE" w:rsidRDefault="00BF47BE" w:rsidP="00BF47BE">
      <w:pPr>
        <w:jc w:val="both"/>
        <w:rPr>
          <w:bCs/>
          <w:iCs/>
        </w:rPr>
      </w:pPr>
      <w:r>
        <w:rPr>
          <w:bCs/>
          <w:iCs/>
        </w:rPr>
        <w:t xml:space="preserve">It was agreed </w:t>
      </w:r>
      <w:r>
        <w:rPr>
          <w:bCs/>
          <w:iCs/>
        </w:rPr>
        <w:fldChar w:fldCharType="begin"/>
      </w:r>
      <w:r>
        <w:rPr>
          <w:bCs/>
          <w:iCs/>
        </w:rPr>
        <w:instrText xml:space="preserve"> REF _Ref60737677 \r \h </w:instrText>
      </w:r>
      <w:r>
        <w:rPr>
          <w:bCs/>
          <w:iCs/>
        </w:rPr>
      </w:r>
      <w:r>
        <w:rPr>
          <w:bCs/>
          <w:iCs/>
        </w:rPr>
        <w:fldChar w:fldCharType="separate"/>
      </w:r>
      <w:r w:rsidR="005414DE">
        <w:rPr>
          <w:bCs/>
          <w:iCs/>
        </w:rPr>
        <w:t>[4]</w:t>
      </w:r>
      <w:r>
        <w:rPr>
          <w:bCs/>
          <w:iCs/>
        </w:rPr>
        <w:fldChar w:fldCharType="end"/>
      </w:r>
      <w:r>
        <w:rPr>
          <w:bCs/>
          <w:iCs/>
        </w:rPr>
        <w:t xml:space="preserve"> that both one-beam per cell and multiple-beam per cell are supported in NTN, with the existing NR specifications as a baseline. In case of </w:t>
      </w:r>
      <w:proofErr w:type="gramStart"/>
      <w:r>
        <w:rPr>
          <w:bCs/>
          <w:iCs/>
        </w:rPr>
        <w:t>multiple-beam</w:t>
      </w:r>
      <w:proofErr w:type="gramEnd"/>
      <w:r>
        <w:rPr>
          <w:bCs/>
          <w:iCs/>
        </w:rPr>
        <w:t xml:space="preserve"> per cell, the coverage of different satellite beams will have large overlap, and the inter-beam interference needs to be controlled. One straightforward way of mitigating inter-beam interference is using different frequencies on neighbor beams. The frequency reuse factor &gt; 1 could be achieved via different BWPs on neighbor beams. This is shown in </w:t>
      </w:r>
      <w:r>
        <w:rPr>
          <w:bCs/>
          <w:iCs/>
        </w:rPr>
        <w:fldChar w:fldCharType="begin"/>
      </w:r>
      <w:r>
        <w:rPr>
          <w:bCs/>
          <w:iCs/>
        </w:rPr>
        <w:instrText xml:space="preserve"> REF _Ref65248993 \h </w:instrText>
      </w:r>
      <w:r>
        <w:rPr>
          <w:bCs/>
          <w:iCs/>
        </w:rPr>
      </w:r>
      <w:r>
        <w:rPr>
          <w:bCs/>
          <w:iCs/>
        </w:rPr>
        <w:fldChar w:fldCharType="separate"/>
      </w:r>
      <w:r w:rsidR="005414DE">
        <w:t xml:space="preserve">Figure </w:t>
      </w:r>
      <w:r w:rsidR="005414DE">
        <w:rPr>
          <w:noProof/>
        </w:rPr>
        <w:t>1</w:t>
      </w:r>
      <w:r>
        <w:rPr>
          <w:bCs/>
          <w:iCs/>
        </w:rPr>
        <w:fldChar w:fldCharType="end"/>
      </w:r>
      <w:r>
        <w:rPr>
          <w:bCs/>
          <w:iCs/>
        </w:rPr>
        <w:t xml:space="preserve">, where each satellite beam is associated with a BWP. </w:t>
      </w:r>
    </w:p>
    <w:p w14:paraId="736B4029" w14:textId="77777777" w:rsidR="00BF47BE" w:rsidRDefault="00BF47BE" w:rsidP="00BF47BE">
      <w:pPr>
        <w:jc w:val="both"/>
        <w:rPr>
          <w:bCs/>
          <w:iCs/>
        </w:rPr>
      </w:pPr>
    </w:p>
    <w:p w14:paraId="74896B9D" w14:textId="77777777" w:rsidR="00BF47BE" w:rsidRDefault="00BF47BE" w:rsidP="00BF47BE">
      <w:pPr>
        <w:jc w:val="both"/>
        <w:rPr>
          <w:bCs/>
          <w:iCs/>
        </w:rPr>
      </w:pPr>
    </w:p>
    <w:p w14:paraId="56F256A7" w14:textId="77777777" w:rsidR="00BF47BE" w:rsidRDefault="00BF47BE" w:rsidP="00BF47BE">
      <w:pPr>
        <w:keepNext/>
        <w:jc w:val="center"/>
      </w:pPr>
      <w:r w:rsidRPr="001A4AD0">
        <w:rPr>
          <w:bCs/>
          <w:iCs/>
          <w:noProof/>
        </w:rPr>
        <w:drawing>
          <wp:inline distT="0" distB="0" distL="0" distR="0" wp14:anchorId="6EF1B261" wp14:editId="49552282">
            <wp:extent cx="2597042" cy="172689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7917" cy="1740780"/>
                    </a:xfrm>
                    <a:prstGeom prst="rect">
                      <a:avLst/>
                    </a:prstGeom>
                  </pic:spPr>
                </pic:pic>
              </a:graphicData>
            </a:graphic>
          </wp:inline>
        </w:drawing>
      </w:r>
    </w:p>
    <w:p w14:paraId="29F31ECF" w14:textId="488D8A35" w:rsidR="00BF47BE" w:rsidRDefault="00BF47BE" w:rsidP="00BF47BE">
      <w:pPr>
        <w:pStyle w:val="Caption"/>
        <w:rPr>
          <w:bCs w:val="0"/>
          <w:iCs/>
        </w:rPr>
      </w:pPr>
      <w:bookmarkStart w:id="0" w:name="_Ref65248993"/>
      <w:r>
        <w:t xml:space="preserve">Figure </w:t>
      </w:r>
      <w:r w:rsidR="00613DF7">
        <w:fldChar w:fldCharType="begin"/>
      </w:r>
      <w:r w:rsidR="00613DF7">
        <w:instrText xml:space="preserve"> SEQ Figure \* ARABIC </w:instrText>
      </w:r>
      <w:r w:rsidR="00613DF7">
        <w:fldChar w:fldCharType="separate"/>
      </w:r>
      <w:r w:rsidR="005414DE">
        <w:rPr>
          <w:noProof/>
        </w:rPr>
        <w:t>1</w:t>
      </w:r>
      <w:r w:rsidR="00613DF7">
        <w:rPr>
          <w:noProof/>
        </w:rPr>
        <w:fldChar w:fldCharType="end"/>
      </w:r>
      <w:bookmarkEnd w:id="0"/>
      <w:r>
        <w:t>: Example of the association between beam and BWP</w:t>
      </w:r>
    </w:p>
    <w:p w14:paraId="027ABB5B" w14:textId="39723101" w:rsidR="00BF47BE" w:rsidRDefault="00BF47BE" w:rsidP="009970CC">
      <w:pPr>
        <w:jc w:val="both"/>
        <w:rPr>
          <w:lang w:eastAsia="x-none"/>
        </w:rPr>
      </w:pPr>
    </w:p>
    <w:p w14:paraId="6CCECDE0" w14:textId="77777777" w:rsidR="00BF47BE" w:rsidRDefault="00BF47BE" w:rsidP="009970CC">
      <w:pPr>
        <w:jc w:val="both"/>
        <w:rPr>
          <w:lang w:eastAsia="x-none"/>
        </w:rPr>
      </w:pPr>
    </w:p>
    <w:p w14:paraId="36F8BDB7" w14:textId="525BC3D7" w:rsidR="007872EC" w:rsidRPr="00D92431" w:rsidRDefault="007872EC" w:rsidP="0013219E">
      <w:pPr>
        <w:jc w:val="both"/>
        <w:rPr>
          <w:rFonts w:eastAsia="SimSun"/>
          <w:bCs/>
          <w:iCs/>
        </w:rPr>
      </w:pPr>
      <w:r w:rsidRPr="00D92431">
        <w:rPr>
          <w:rFonts w:eastAsia="SimSun"/>
          <w:bCs/>
          <w:iCs/>
        </w:rPr>
        <w:t>The b</w:t>
      </w:r>
      <w:r w:rsidR="004E2EB8" w:rsidRPr="00D92431">
        <w:rPr>
          <w:rFonts w:eastAsia="SimSun"/>
          <w:bCs/>
          <w:iCs/>
        </w:rPr>
        <w:t>eam measurement</w:t>
      </w:r>
      <w:r w:rsidRPr="00D92431">
        <w:rPr>
          <w:rFonts w:eastAsia="SimSun"/>
          <w:bCs/>
          <w:iCs/>
        </w:rPr>
        <w:t xml:space="preserve"> in NR terrestrial network is based on SSB or CSI-RS. Since different </w:t>
      </w:r>
      <w:r w:rsidR="00395FA6" w:rsidRPr="00D92431">
        <w:rPr>
          <w:rFonts w:eastAsia="SimSun"/>
          <w:bCs/>
          <w:iCs/>
        </w:rPr>
        <w:t xml:space="preserve">satellite </w:t>
      </w:r>
      <w:r w:rsidRPr="00D92431">
        <w:rPr>
          <w:rFonts w:eastAsia="SimSun"/>
          <w:bCs/>
          <w:iCs/>
        </w:rPr>
        <w:t xml:space="preserve">beams in NTN </w:t>
      </w:r>
      <w:r w:rsidR="00281A37">
        <w:rPr>
          <w:rFonts w:eastAsia="SimSun"/>
          <w:bCs/>
          <w:iCs/>
        </w:rPr>
        <w:t>may be</w:t>
      </w:r>
      <w:r w:rsidRPr="00D92431">
        <w:rPr>
          <w:rFonts w:eastAsia="SimSun"/>
          <w:bCs/>
          <w:iCs/>
        </w:rPr>
        <w:t xml:space="preserve"> associated with different BWPs, BWP may be either switched or extended in order to measure CSI-RS in different beams. The former approach requires additional gap between beam measurement, while the latter approach has a large specification impact. </w:t>
      </w:r>
      <w:r w:rsidR="000436C0" w:rsidRPr="00D92431">
        <w:rPr>
          <w:rFonts w:eastAsia="SimSun"/>
          <w:bCs/>
          <w:iCs/>
        </w:rPr>
        <w:t>W</w:t>
      </w:r>
      <w:r w:rsidRPr="00D92431">
        <w:rPr>
          <w:rFonts w:eastAsia="SimSun"/>
          <w:bCs/>
          <w:iCs/>
        </w:rPr>
        <w:t xml:space="preserve">e prefer the approach for BWP switching for CSI measurement in a different beam. An alternative approach is to </w:t>
      </w:r>
      <w:r w:rsidR="000436C0" w:rsidRPr="00D92431">
        <w:rPr>
          <w:rFonts w:eastAsia="SimSun"/>
          <w:bCs/>
          <w:iCs/>
        </w:rPr>
        <w:t xml:space="preserve">make all the beam measurement </w:t>
      </w:r>
      <w:r w:rsidRPr="00D92431">
        <w:rPr>
          <w:rFonts w:eastAsia="SimSun"/>
          <w:bCs/>
          <w:iCs/>
        </w:rPr>
        <w:t>in initial BWP</w:t>
      </w:r>
      <w:r w:rsidR="000436C0" w:rsidRPr="00D92431">
        <w:rPr>
          <w:rFonts w:eastAsia="SimSun"/>
          <w:bCs/>
          <w:iCs/>
        </w:rPr>
        <w:t>, which reduces the total number of BWP switching</w:t>
      </w:r>
      <w:r w:rsidR="00D92431">
        <w:rPr>
          <w:rFonts w:eastAsia="SimSun"/>
          <w:bCs/>
          <w:iCs/>
        </w:rPr>
        <w:t xml:space="preserve"> for beam measurement</w:t>
      </w:r>
      <w:r w:rsidR="000436C0" w:rsidRPr="00D92431">
        <w:rPr>
          <w:rFonts w:eastAsia="SimSun"/>
          <w:bCs/>
          <w:iCs/>
        </w:rPr>
        <w:t xml:space="preserve">. </w:t>
      </w:r>
    </w:p>
    <w:p w14:paraId="6284F483" w14:textId="2112F9A4" w:rsidR="004E2EB8" w:rsidRDefault="004E2EB8" w:rsidP="0013219E">
      <w:pPr>
        <w:jc w:val="both"/>
        <w:rPr>
          <w:rFonts w:eastAsia="SimSun"/>
          <w:bCs/>
          <w:iCs/>
          <w:sz w:val="22"/>
          <w:szCs w:val="22"/>
        </w:rPr>
      </w:pPr>
    </w:p>
    <w:p w14:paraId="0D24C524" w14:textId="62BEE81D" w:rsidR="004E2EB8" w:rsidRDefault="004E2EB8" w:rsidP="0013219E">
      <w:pPr>
        <w:jc w:val="both"/>
        <w:rPr>
          <w:i/>
        </w:rPr>
      </w:pPr>
      <w:r w:rsidRPr="001C381A">
        <w:rPr>
          <w:b/>
          <w:i/>
          <w:u w:val="single"/>
        </w:rPr>
        <w:t xml:space="preserve">Proposal </w:t>
      </w:r>
      <w:r w:rsidR="00BF47BE">
        <w:rPr>
          <w:b/>
          <w:i/>
          <w:u w:val="single"/>
        </w:rPr>
        <w:t>1</w:t>
      </w:r>
      <w:r w:rsidRPr="001C381A">
        <w:rPr>
          <w:b/>
          <w:i/>
          <w:u w:val="single"/>
        </w:rPr>
        <w:t>:</w:t>
      </w:r>
      <w:r>
        <w:rPr>
          <w:i/>
        </w:rPr>
        <w:t xml:space="preserve"> Consider</w:t>
      </w:r>
      <w:r w:rsidR="00F14FA6">
        <w:rPr>
          <w:i/>
        </w:rPr>
        <w:t xml:space="preserve"> </w:t>
      </w:r>
      <w:r w:rsidR="000436C0">
        <w:rPr>
          <w:i/>
        </w:rPr>
        <w:t>performing beam measuremen</w:t>
      </w:r>
      <w:r w:rsidR="00F14FA6">
        <w:rPr>
          <w:i/>
        </w:rPr>
        <w:t>t either in initial BWP or in different BWPs with BWP switching.</w:t>
      </w:r>
    </w:p>
    <w:p w14:paraId="763861FC" w14:textId="31FA637B" w:rsidR="00BF47BE" w:rsidRDefault="00BF47BE" w:rsidP="0013219E">
      <w:pPr>
        <w:jc w:val="both"/>
        <w:rPr>
          <w:iCs/>
        </w:rPr>
      </w:pPr>
    </w:p>
    <w:p w14:paraId="7269C464" w14:textId="49D14FFE" w:rsidR="00BF47BE" w:rsidRDefault="00BF47BE" w:rsidP="00BF47BE">
      <w:pPr>
        <w:jc w:val="both"/>
        <w:rPr>
          <w:bCs/>
          <w:iCs/>
        </w:rPr>
      </w:pPr>
      <w:r>
        <w:rPr>
          <w:bCs/>
          <w:iCs/>
        </w:rPr>
        <w:t>The beam management issues have been extensively discussed in RAN1 #105-e meeting.</w:t>
      </w:r>
      <w:r w:rsidR="00B126D4">
        <w:rPr>
          <w:bCs/>
          <w:iCs/>
        </w:rPr>
        <w:t xml:space="preserve"> One of the issues is whether to enhance the BWP/beam switching mechanism for a group of UEs. Considering the </w:t>
      </w:r>
      <w:r w:rsidR="00D146FC">
        <w:rPr>
          <w:bCs/>
          <w:iCs/>
        </w:rPr>
        <w:t>big</w:t>
      </w:r>
      <w:r w:rsidR="00B126D4">
        <w:rPr>
          <w:bCs/>
          <w:iCs/>
        </w:rPr>
        <w:t xml:space="preserve"> beam footprint in NTN, </w:t>
      </w:r>
      <w:r w:rsidR="00D146FC">
        <w:rPr>
          <w:bCs/>
          <w:iCs/>
        </w:rPr>
        <w:t xml:space="preserve">a large number of UEs could be in a single satellite beam. In either earth moving beam scenario or earth fixed beam scenario, it is possible that a group of UEs </w:t>
      </w:r>
      <w:r w:rsidR="00666A64">
        <w:rPr>
          <w:bCs/>
          <w:iCs/>
        </w:rPr>
        <w:t xml:space="preserve">(within a same satellite beam) </w:t>
      </w:r>
      <w:r w:rsidR="00D146FC">
        <w:rPr>
          <w:bCs/>
          <w:iCs/>
        </w:rPr>
        <w:t xml:space="preserve">need to switch the BWP/beam in approximately same time. To save signaling overhead, it is beneficial to support a common BWP/beam switching mechanism for a group of UEs. </w:t>
      </w:r>
    </w:p>
    <w:p w14:paraId="61F68959" w14:textId="77777777" w:rsidR="00BF47BE" w:rsidRDefault="00BF47BE" w:rsidP="00BF47BE">
      <w:pPr>
        <w:jc w:val="both"/>
        <w:rPr>
          <w:bCs/>
          <w:iCs/>
        </w:rPr>
      </w:pPr>
    </w:p>
    <w:p w14:paraId="6DF58D38" w14:textId="00A62148" w:rsidR="00BF47BE" w:rsidRPr="00D146FC" w:rsidRDefault="00BF47BE" w:rsidP="0013219E">
      <w:pPr>
        <w:jc w:val="both"/>
        <w:rPr>
          <w:bCs/>
          <w:iCs/>
        </w:rPr>
      </w:pPr>
      <w:r w:rsidRPr="001C381A">
        <w:rPr>
          <w:b/>
          <w:i/>
          <w:u w:val="single"/>
        </w:rPr>
        <w:t xml:space="preserve">Proposal </w:t>
      </w:r>
      <w:r>
        <w:rPr>
          <w:b/>
          <w:i/>
          <w:u w:val="single"/>
        </w:rPr>
        <w:t>2</w:t>
      </w:r>
      <w:r w:rsidRPr="001C381A">
        <w:rPr>
          <w:b/>
          <w:i/>
          <w:u w:val="single"/>
        </w:rPr>
        <w:t>:</w:t>
      </w:r>
      <w:r>
        <w:rPr>
          <w:i/>
        </w:rPr>
        <w:t xml:space="preserve"> Support a common BWP/beam switching mechanism for a group of UEs to save signaling overhead. </w:t>
      </w:r>
    </w:p>
    <w:p w14:paraId="54934CE9" w14:textId="77777777" w:rsidR="00BF47BE" w:rsidRDefault="00BF47BE" w:rsidP="0013219E">
      <w:pPr>
        <w:jc w:val="both"/>
        <w:rPr>
          <w:iCs/>
        </w:rPr>
      </w:pPr>
    </w:p>
    <w:p w14:paraId="6BA2F929" w14:textId="36D35031" w:rsidR="00281A37" w:rsidRDefault="00281A37" w:rsidP="0013219E">
      <w:pPr>
        <w:jc w:val="both"/>
        <w:rPr>
          <w:iCs/>
        </w:rPr>
      </w:pPr>
      <w:r>
        <w:rPr>
          <w:iCs/>
        </w:rPr>
        <w:t xml:space="preserve">The </w:t>
      </w:r>
      <w:r w:rsidR="00530B39">
        <w:rPr>
          <w:iCs/>
        </w:rPr>
        <w:t xml:space="preserve">antenna </w:t>
      </w:r>
      <w:r>
        <w:rPr>
          <w:iCs/>
        </w:rPr>
        <w:t xml:space="preserve">polarization used in NTN includes right hand circular polarization (RHCP), left hand circular polarization (LHCP) and linear polarization. A UE with linear polarization </w:t>
      </w:r>
      <w:r w:rsidR="00530B39">
        <w:rPr>
          <w:iCs/>
        </w:rPr>
        <w:t xml:space="preserve">antenna has 3 dB polarization loss when receiving a circular polarized signal. A UE with RHCP antenna cannot receive a LHCP signal, and vice versa. </w:t>
      </w:r>
    </w:p>
    <w:p w14:paraId="62C3B49F" w14:textId="77777777" w:rsidR="00281A37" w:rsidRDefault="00281A37" w:rsidP="0013219E">
      <w:pPr>
        <w:jc w:val="both"/>
        <w:rPr>
          <w:iCs/>
        </w:rPr>
      </w:pPr>
    </w:p>
    <w:p w14:paraId="1DB50E62" w14:textId="10B37BFA" w:rsidR="00E6343E" w:rsidRDefault="00281A37" w:rsidP="005414DE">
      <w:pPr>
        <w:jc w:val="both"/>
        <w:rPr>
          <w:iCs/>
        </w:rPr>
      </w:pPr>
      <w:r>
        <w:rPr>
          <w:iCs/>
        </w:rPr>
        <w:t xml:space="preserve">It was agreed </w:t>
      </w:r>
      <w:r w:rsidR="005414DE">
        <w:rPr>
          <w:iCs/>
        </w:rPr>
        <w:fldChar w:fldCharType="begin"/>
      </w:r>
      <w:r w:rsidR="005414DE">
        <w:rPr>
          <w:iCs/>
        </w:rPr>
        <w:instrText xml:space="preserve"> REF _Ref83643622 \r \h </w:instrText>
      </w:r>
      <w:r w:rsidR="005414DE">
        <w:rPr>
          <w:iCs/>
        </w:rPr>
      </w:r>
      <w:r w:rsidR="005414DE">
        <w:rPr>
          <w:iCs/>
        </w:rPr>
        <w:fldChar w:fldCharType="separate"/>
      </w:r>
      <w:r w:rsidR="005414DE">
        <w:rPr>
          <w:iCs/>
        </w:rPr>
        <w:t>[5]</w:t>
      </w:r>
      <w:r w:rsidR="005414DE">
        <w:rPr>
          <w:iCs/>
        </w:rPr>
        <w:fldChar w:fldCharType="end"/>
      </w:r>
      <w:r>
        <w:rPr>
          <w:iCs/>
        </w:rPr>
        <w:t xml:space="preserve"> to support explicit indication of polarization information for </w:t>
      </w:r>
      <w:r w:rsidR="00E6343E">
        <w:rPr>
          <w:iCs/>
        </w:rPr>
        <w:t>downlink</w:t>
      </w:r>
      <w:r>
        <w:rPr>
          <w:iCs/>
        </w:rPr>
        <w:t xml:space="preserve"> by the network. </w:t>
      </w:r>
      <w:r w:rsidR="00E6343E">
        <w:rPr>
          <w:iCs/>
        </w:rPr>
        <w:t>It was agreed</w:t>
      </w:r>
      <w:r w:rsidR="0003116C">
        <w:rPr>
          <w:iCs/>
        </w:rPr>
        <w:t xml:space="preserve"> </w:t>
      </w:r>
      <w:r w:rsidR="005414DE">
        <w:rPr>
          <w:iCs/>
        </w:rPr>
        <w:fldChar w:fldCharType="begin"/>
      </w:r>
      <w:r w:rsidR="005414DE">
        <w:rPr>
          <w:iCs/>
        </w:rPr>
        <w:instrText xml:space="preserve"> REF _Ref78988633 \r \h </w:instrText>
      </w:r>
      <w:r w:rsidR="005414DE">
        <w:rPr>
          <w:iCs/>
        </w:rPr>
      </w:r>
      <w:r w:rsidR="005414DE">
        <w:rPr>
          <w:iCs/>
        </w:rPr>
        <w:fldChar w:fldCharType="separate"/>
      </w:r>
      <w:r w:rsidR="005414DE">
        <w:rPr>
          <w:iCs/>
        </w:rPr>
        <w:t>[6]</w:t>
      </w:r>
      <w:r w:rsidR="005414DE">
        <w:rPr>
          <w:iCs/>
        </w:rPr>
        <w:fldChar w:fldCharType="end"/>
      </w:r>
      <w:r w:rsidR="00E6343E">
        <w:rPr>
          <w:iCs/>
        </w:rPr>
        <w:t xml:space="preserve"> that the polarization information for downlink and the polarization information for uplink are indicated in SIB. </w:t>
      </w:r>
      <w:r w:rsidR="005414DE">
        <w:rPr>
          <w:iCs/>
        </w:rPr>
        <w:t xml:space="preserve">It was further agreed </w:t>
      </w:r>
      <w:r w:rsidR="00F5589D">
        <w:rPr>
          <w:iCs/>
        </w:rPr>
        <w:fldChar w:fldCharType="begin"/>
      </w:r>
      <w:r w:rsidR="00F5589D">
        <w:rPr>
          <w:iCs/>
        </w:rPr>
        <w:instrText xml:space="preserve"> REF _Ref78188310 \r \h </w:instrText>
      </w:r>
      <w:r w:rsidR="00F5589D">
        <w:rPr>
          <w:iCs/>
        </w:rPr>
      </w:r>
      <w:r w:rsidR="00F5589D">
        <w:rPr>
          <w:iCs/>
        </w:rPr>
        <w:fldChar w:fldCharType="separate"/>
      </w:r>
      <w:r w:rsidR="00F5589D">
        <w:rPr>
          <w:iCs/>
        </w:rPr>
        <w:t>[3]</w:t>
      </w:r>
      <w:r w:rsidR="00F5589D">
        <w:rPr>
          <w:iCs/>
        </w:rPr>
        <w:fldChar w:fldCharType="end"/>
      </w:r>
      <w:r w:rsidR="00F5589D">
        <w:rPr>
          <w:iCs/>
        </w:rPr>
        <w:t xml:space="preserve"> </w:t>
      </w:r>
      <w:r w:rsidR="005414DE">
        <w:rPr>
          <w:iCs/>
        </w:rPr>
        <w:t xml:space="preserve">that SIB indicates downlink and/or uplink polarization information using respective polarization type parameters to indicate RHCP, LHCP or linear. It is open whether polarization signaling is per SSB. </w:t>
      </w:r>
    </w:p>
    <w:p w14:paraId="017557F2" w14:textId="77777777" w:rsidR="00E6343E" w:rsidRDefault="00E6343E" w:rsidP="0013219E">
      <w:pPr>
        <w:jc w:val="both"/>
        <w:rPr>
          <w:iCs/>
        </w:rPr>
      </w:pPr>
    </w:p>
    <w:p w14:paraId="1FCE57F1" w14:textId="32DDB1AE" w:rsidR="00D819E8" w:rsidRDefault="00281A37" w:rsidP="0013219E">
      <w:pPr>
        <w:jc w:val="both"/>
        <w:rPr>
          <w:iCs/>
        </w:rPr>
      </w:pPr>
      <w:r>
        <w:rPr>
          <w:iCs/>
        </w:rPr>
        <w:t>There are two potential deployment scenarios related to polarization</w:t>
      </w:r>
      <w:r w:rsidR="007633DE">
        <w:rPr>
          <w:iCs/>
        </w:rPr>
        <w:t xml:space="preserve">, </w:t>
      </w:r>
      <w:r>
        <w:rPr>
          <w:iCs/>
        </w:rPr>
        <w:t>i.e., inter-beam interference mitigation and polarization multiplexing.</w:t>
      </w:r>
      <w:r w:rsidR="00AF2A20">
        <w:rPr>
          <w:iCs/>
        </w:rPr>
        <w:t xml:space="preserve"> I</w:t>
      </w:r>
      <w:r>
        <w:rPr>
          <w:iCs/>
        </w:rPr>
        <w:t xml:space="preserve">n </w:t>
      </w:r>
      <w:r w:rsidR="00530B39">
        <w:rPr>
          <w:iCs/>
        </w:rPr>
        <w:t>the first deployment scenario</w:t>
      </w:r>
      <w:r w:rsidR="00D819E8">
        <w:rPr>
          <w:iCs/>
        </w:rPr>
        <w:t xml:space="preserve"> (so called inter-beam interference mitigation)</w:t>
      </w:r>
      <w:r>
        <w:rPr>
          <w:iCs/>
        </w:rPr>
        <w:t>, neighbor satellite beams may use different polarization</w:t>
      </w:r>
      <w:r w:rsidR="00530B39">
        <w:rPr>
          <w:iCs/>
        </w:rPr>
        <w:t xml:space="preserve"> to mitigate the inter-beam interference to increase system throughput.</w:t>
      </w:r>
      <w:r w:rsidR="00AF2A20">
        <w:rPr>
          <w:iCs/>
        </w:rPr>
        <w:t xml:space="preserve"> </w:t>
      </w:r>
      <w:r w:rsidR="00530B39">
        <w:rPr>
          <w:iCs/>
        </w:rPr>
        <w:t xml:space="preserve">This polarization-based inter-beam interference mitigation can be jointly </w:t>
      </w:r>
      <w:r w:rsidR="006F64BA">
        <w:rPr>
          <w:iCs/>
        </w:rPr>
        <w:t>deployed</w:t>
      </w:r>
      <w:r w:rsidR="00530B39">
        <w:rPr>
          <w:iCs/>
        </w:rPr>
        <w:t xml:space="preserve"> with frequency reuse</w:t>
      </w:r>
      <w:r w:rsidR="00D819E8">
        <w:rPr>
          <w:iCs/>
        </w:rPr>
        <w:t xml:space="preserve"> to further increase the reuse factor.</w:t>
      </w:r>
      <w:r w:rsidR="00AF2A20">
        <w:rPr>
          <w:iCs/>
        </w:rPr>
        <w:t xml:space="preserve"> </w:t>
      </w:r>
      <w:r w:rsidR="00D819E8">
        <w:rPr>
          <w:iCs/>
        </w:rPr>
        <w:t xml:space="preserve">In the second deployment scenario (so called polarization multiplexing), </w:t>
      </w:r>
      <w:proofErr w:type="spellStart"/>
      <w:r w:rsidR="00D819E8">
        <w:rPr>
          <w:iCs/>
        </w:rPr>
        <w:t>gNB</w:t>
      </w:r>
      <w:proofErr w:type="spellEnd"/>
      <w:r w:rsidR="00D819E8">
        <w:rPr>
          <w:iCs/>
        </w:rPr>
        <w:t xml:space="preserve"> could use the same time and frequency resource to serve two UEs by using different or opposite polarizations (e.g., RHCP and LHCP). Due to the orthogonality between two polarizations, there is no interference between </w:t>
      </w:r>
      <w:r w:rsidR="00F67ABA">
        <w:rPr>
          <w:iCs/>
        </w:rPr>
        <w:t>these two UEs’ signal receptions</w:t>
      </w:r>
      <w:r w:rsidR="00D819E8">
        <w:rPr>
          <w:iCs/>
        </w:rPr>
        <w:t>.</w:t>
      </w:r>
    </w:p>
    <w:p w14:paraId="23DD5E84" w14:textId="1AC51CEE" w:rsidR="00281A37" w:rsidRDefault="00281A37" w:rsidP="0013219E">
      <w:pPr>
        <w:jc w:val="both"/>
        <w:rPr>
          <w:iCs/>
        </w:rPr>
      </w:pPr>
    </w:p>
    <w:p w14:paraId="65A992F0" w14:textId="00198507" w:rsidR="003A4FBA" w:rsidRDefault="00AF2A20" w:rsidP="0013219E">
      <w:pPr>
        <w:jc w:val="both"/>
        <w:rPr>
          <w:iCs/>
        </w:rPr>
      </w:pPr>
      <w:r>
        <w:rPr>
          <w:iCs/>
        </w:rPr>
        <w:t xml:space="preserve">Since the </w:t>
      </w:r>
      <w:r w:rsidR="00FC3B35">
        <w:rPr>
          <w:iCs/>
        </w:rPr>
        <w:t xml:space="preserve">downlink </w:t>
      </w:r>
      <w:r>
        <w:rPr>
          <w:iCs/>
        </w:rPr>
        <w:t>polarization information is indicated in SIB, it is natural the first deployment scenario is supported</w:t>
      </w:r>
      <w:r w:rsidR="003A4FBA">
        <w:rPr>
          <w:iCs/>
        </w:rPr>
        <w:t>, while the second deployment scenario requires the dynamic signaling on the downlink polarization information.</w:t>
      </w:r>
      <w:r>
        <w:rPr>
          <w:iCs/>
        </w:rPr>
        <w:t xml:space="preserve"> </w:t>
      </w:r>
      <w:r w:rsidR="003A4FBA">
        <w:rPr>
          <w:iCs/>
        </w:rPr>
        <w:t>In the first deployment scenario, since the downlink</w:t>
      </w:r>
      <w:r w:rsidR="00FC3B35">
        <w:rPr>
          <w:iCs/>
        </w:rPr>
        <w:t xml:space="preserve"> </w:t>
      </w:r>
      <w:r w:rsidR="003A4FBA">
        <w:rPr>
          <w:iCs/>
        </w:rPr>
        <w:t>polarization could further increase the reuse factor among neighbor beams, it is reasonable to indicate the downlink</w:t>
      </w:r>
      <w:r w:rsidR="00FC3B35">
        <w:rPr>
          <w:iCs/>
        </w:rPr>
        <w:t xml:space="preserve"> </w:t>
      </w:r>
      <w:r w:rsidR="003A4FBA">
        <w:rPr>
          <w:iCs/>
        </w:rPr>
        <w:t xml:space="preserve">polarization per SSB in SIB. </w:t>
      </w:r>
    </w:p>
    <w:p w14:paraId="6CA0167D" w14:textId="548BB783" w:rsidR="003A4FBA" w:rsidRDefault="003A4FBA" w:rsidP="0013219E">
      <w:pPr>
        <w:jc w:val="both"/>
        <w:rPr>
          <w:iCs/>
        </w:rPr>
      </w:pPr>
    </w:p>
    <w:p w14:paraId="2A0282C0" w14:textId="2A9832FC" w:rsidR="003A4FBA" w:rsidRDefault="003A4FBA" w:rsidP="003A4FBA">
      <w:pPr>
        <w:jc w:val="both"/>
        <w:rPr>
          <w:i/>
        </w:rPr>
      </w:pPr>
      <w:r w:rsidRPr="001C381A">
        <w:rPr>
          <w:b/>
          <w:i/>
          <w:u w:val="single"/>
        </w:rPr>
        <w:t xml:space="preserve">Proposal </w:t>
      </w:r>
      <w:r w:rsidR="00666A64">
        <w:rPr>
          <w:b/>
          <w:i/>
          <w:u w:val="single"/>
        </w:rPr>
        <w:t>3</w:t>
      </w:r>
      <w:r w:rsidRPr="001C381A">
        <w:rPr>
          <w:b/>
          <w:i/>
          <w:u w:val="single"/>
        </w:rPr>
        <w:t>:</w:t>
      </w:r>
      <w:r>
        <w:rPr>
          <w:i/>
        </w:rPr>
        <w:t xml:space="preserve"> The </w:t>
      </w:r>
      <w:r w:rsidR="00FC3B35">
        <w:rPr>
          <w:i/>
        </w:rPr>
        <w:t xml:space="preserve">downlink </w:t>
      </w:r>
      <w:r>
        <w:rPr>
          <w:i/>
        </w:rPr>
        <w:t>polarization</w:t>
      </w:r>
      <w:r w:rsidR="00FC3B35">
        <w:rPr>
          <w:i/>
        </w:rPr>
        <w:t xml:space="preserve"> signaling in SIB is</w:t>
      </w:r>
      <w:r>
        <w:rPr>
          <w:i/>
        </w:rPr>
        <w:t xml:space="preserve"> per SSB. </w:t>
      </w:r>
    </w:p>
    <w:p w14:paraId="0F0C1168" w14:textId="5D047D13" w:rsidR="003A4FBA" w:rsidRDefault="003A4FBA" w:rsidP="0013219E">
      <w:pPr>
        <w:jc w:val="both"/>
        <w:rPr>
          <w:iCs/>
        </w:rPr>
      </w:pPr>
    </w:p>
    <w:p w14:paraId="103F27E2" w14:textId="7B7B1449" w:rsidR="003A4FBA" w:rsidRDefault="003A4FBA" w:rsidP="0013219E">
      <w:pPr>
        <w:jc w:val="both"/>
        <w:rPr>
          <w:iCs/>
        </w:rPr>
      </w:pPr>
      <w:r>
        <w:rPr>
          <w:iCs/>
        </w:rPr>
        <w:t>Both downlink and uplink polarization information are indicated in SIB. Hence, it is expected that this information is not dynamically changed. In this sense, the motivation of UE reporting its polarization capability is unclear, since network polarization configuration is per satellite beam and does not change with UEs’ polarization capability.</w:t>
      </w:r>
      <w:r w:rsidR="009567A3">
        <w:rPr>
          <w:iCs/>
        </w:rPr>
        <w:t xml:space="preserve"> </w:t>
      </w:r>
    </w:p>
    <w:p w14:paraId="2DF196EA" w14:textId="562960C5" w:rsidR="008069FE" w:rsidRDefault="008069FE" w:rsidP="0013219E">
      <w:pPr>
        <w:jc w:val="both"/>
        <w:rPr>
          <w:iCs/>
        </w:rPr>
      </w:pPr>
    </w:p>
    <w:p w14:paraId="7C570831" w14:textId="67515E0D" w:rsidR="00BB46FF" w:rsidRDefault="00BB46FF" w:rsidP="0013219E">
      <w:pPr>
        <w:jc w:val="both"/>
        <w:rPr>
          <w:iCs/>
        </w:rPr>
      </w:pPr>
      <w:r w:rsidRPr="001C381A">
        <w:rPr>
          <w:b/>
          <w:i/>
          <w:u w:val="single"/>
        </w:rPr>
        <w:t xml:space="preserve">Proposal </w:t>
      </w:r>
      <w:r w:rsidR="00666A64">
        <w:rPr>
          <w:b/>
          <w:i/>
          <w:u w:val="single"/>
        </w:rPr>
        <w:t>4</w:t>
      </w:r>
      <w:r w:rsidRPr="001C381A">
        <w:rPr>
          <w:b/>
          <w:i/>
          <w:u w:val="single"/>
        </w:rPr>
        <w:t>:</w:t>
      </w:r>
      <w:r>
        <w:rPr>
          <w:i/>
        </w:rPr>
        <w:t xml:space="preserve"> UE polarization capability reporting is not supported. </w:t>
      </w:r>
    </w:p>
    <w:p w14:paraId="4D3CBFCF" w14:textId="77777777" w:rsidR="00F7060A" w:rsidRPr="00F7060A" w:rsidRDefault="00F7060A" w:rsidP="0013219E">
      <w:pPr>
        <w:jc w:val="both"/>
        <w:rPr>
          <w:i/>
        </w:rPr>
      </w:pPr>
    </w:p>
    <w:p w14:paraId="2896E657" w14:textId="2DF29AD0" w:rsidR="00854A60" w:rsidRPr="00A6576F" w:rsidRDefault="009C5A97" w:rsidP="00FB330B">
      <w:pPr>
        <w:pStyle w:val="Heading1"/>
      </w:pPr>
      <w:r w:rsidRPr="00A6576F">
        <w:t>Conclusion</w:t>
      </w:r>
    </w:p>
    <w:p w14:paraId="1C116919" w14:textId="33F14C7E" w:rsidR="009C0798" w:rsidRDefault="005B2938" w:rsidP="009C0798">
      <w:pPr>
        <w:jc w:val="both"/>
      </w:pPr>
      <w:r w:rsidRPr="00B704B6">
        <w:rPr>
          <w:rFonts w:eastAsia="MS Mincho"/>
          <w:lang w:eastAsia="ja-JP"/>
        </w:rPr>
        <w:t xml:space="preserve">In this contribution, we </w:t>
      </w:r>
      <w:r w:rsidR="009C0798">
        <w:rPr>
          <w:szCs w:val="20"/>
        </w:rPr>
        <w:t>provided our views on</w:t>
      </w:r>
      <w:r w:rsidR="00D92431">
        <w:rPr>
          <w:szCs w:val="20"/>
        </w:rPr>
        <w:t xml:space="preserve"> </w:t>
      </w:r>
      <w:r w:rsidR="0051475C">
        <w:rPr>
          <w:szCs w:val="20"/>
        </w:rPr>
        <w:t>beam management enhancement</w:t>
      </w:r>
      <w:r w:rsidR="00F7060A">
        <w:rPr>
          <w:szCs w:val="20"/>
        </w:rPr>
        <w:t xml:space="preserve">, and signaling of polarization information </w:t>
      </w:r>
      <w:r w:rsidR="0051475C">
        <w:rPr>
          <w:szCs w:val="20"/>
        </w:rPr>
        <w:t>in NTN</w:t>
      </w:r>
      <w:r w:rsidR="009C0798">
        <w:rPr>
          <w:szCs w:val="20"/>
        </w:rPr>
        <w:t xml:space="preserve">. </w:t>
      </w:r>
      <w:r w:rsidR="009C0798">
        <w:t xml:space="preserve">Our proposals are as follows: </w:t>
      </w:r>
    </w:p>
    <w:p w14:paraId="46532EF6" w14:textId="4C847A73" w:rsidR="00ED1185" w:rsidRDefault="00ED1185" w:rsidP="009C0798">
      <w:pPr>
        <w:jc w:val="both"/>
      </w:pPr>
    </w:p>
    <w:p w14:paraId="5CB633C0" w14:textId="77777777" w:rsidR="00666A64" w:rsidRDefault="00666A64" w:rsidP="00666A64">
      <w:pPr>
        <w:jc w:val="both"/>
        <w:rPr>
          <w:i/>
        </w:rPr>
      </w:pPr>
      <w:r w:rsidRPr="001C381A">
        <w:rPr>
          <w:b/>
          <w:i/>
          <w:u w:val="single"/>
        </w:rPr>
        <w:t xml:space="preserve">Proposal </w:t>
      </w:r>
      <w:r>
        <w:rPr>
          <w:b/>
          <w:i/>
          <w:u w:val="single"/>
        </w:rPr>
        <w:t>1</w:t>
      </w:r>
      <w:r w:rsidRPr="001C381A">
        <w:rPr>
          <w:b/>
          <w:i/>
          <w:u w:val="single"/>
        </w:rPr>
        <w:t>:</w:t>
      </w:r>
      <w:r>
        <w:rPr>
          <w:i/>
        </w:rPr>
        <w:t xml:space="preserve"> Consider performing beam measurement either in initial BWP or in different BWPs with BWP switching.</w:t>
      </w:r>
    </w:p>
    <w:p w14:paraId="609986E2" w14:textId="1FA589BD" w:rsidR="00325905" w:rsidRDefault="00325905" w:rsidP="00325905">
      <w:pPr>
        <w:jc w:val="both"/>
        <w:rPr>
          <w:bCs/>
          <w:iCs/>
        </w:rPr>
      </w:pPr>
    </w:p>
    <w:p w14:paraId="5A16E00D" w14:textId="77777777" w:rsidR="00666A64" w:rsidRPr="00D146FC" w:rsidRDefault="00666A64" w:rsidP="00666A64">
      <w:pPr>
        <w:jc w:val="both"/>
        <w:rPr>
          <w:bCs/>
          <w:iCs/>
        </w:rPr>
      </w:pPr>
      <w:r w:rsidRPr="001C381A">
        <w:rPr>
          <w:b/>
          <w:i/>
          <w:u w:val="single"/>
        </w:rPr>
        <w:t xml:space="preserve">Proposal </w:t>
      </w:r>
      <w:r>
        <w:rPr>
          <w:b/>
          <w:i/>
          <w:u w:val="single"/>
        </w:rPr>
        <w:t>2</w:t>
      </w:r>
      <w:r w:rsidRPr="001C381A">
        <w:rPr>
          <w:b/>
          <w:i/>
          <w:u w:val="single"/>
        </w:rPr>
        <w:t>:</w:t>
      </w:r>
      <w:r>
        <w:rPr>
          <w:i/>
        </w:rPr>
        <w:t xml:space="preserve"> Support a common BWP/beam switching mechanism for a group of UEs to save signaling overhead. </w:t>
      </w:r>
    </w:p>
    <w:p w14:paraId="2CA1E690" w14:textId="61860731" w:rsidR="00666A64" w:rsidRDefault="00666A64" w:rsidP="00325905">
      <w:pPr>
        <w:jc w:val="both"/>
        <w:rPr>
          <w:bCs/>
          <w:iCs/>
        </w:rPr>
      </w:pPr>
    </w:p>
    <w:p w14:paraId="019D41C8" w14:textId="2D1C1D2E" w:rsidR="00FC3B35" w:rsidRDefault="00FC3B35" w:rsidP="00FC3B35">
      <w:pPr>
        <w:jc w:val="both"/>
        <w:rPr>
          <w:i/>
        </w:rPr>
      </w:pPr>
      <w:r w:rsidRPr="001C381A">
        <w:rPr>
          <w:b/>
          <w:i/>
          <w:u w:val="single"/>
        </w:rPr>
        <w:t xml:space="preserve">Proposal </w:t>
      </w:r>
      <w:r>
        <w:rPr>
          <w:b/>
          <w:i/>
          <w:u w:val="single"/>
        </w:rPr>
        <w:t>3</w:t>
      </w:r>
      <w:r w:rsidRPr="001C381A">
        <w:rPr>
          <w:b/>
          <w:i/>
          <w:u w:val="single"/>
        </w:rPr>
        <w:t>:</w:t>
      </w:r>
      <w:r>
        <w:rPr>
          <w:i/>
        </w:rPr>
        <w:t xml:space="preserve"> The downlink polarization signaling in SIB is per SSB. </w:t>
      </w:r>
    </w:p>
    <w:p w14:paraId="6DCEDE35" w14:textId="01118812" w:rsidR="00666A64" w:rsidRDefault="00666A64" w:rsidP="00325905">
      <w:pPr>
        <w:jc w:val="both"/>
        <w:rPr>
          <w:bCs/>
          <w:iCs/>
        </w:rPr>
      </w:pPr>
    </w:p>
    <w:p w14:paraId="189DD01E" w14:textId="7593639D" w:rsidR="00666A64" w:rsidRDefault="00666A64" w:rsidP="00325905">
      <w:pPr>
        <w:jc w:val="both"/>
        <w:rPr>
          <w:i/>
        </w:rPr>
      </w:pPr>
      <w:r w:rsidRPr="001C381A">
        <w:rPr>
          <w:b/>
          <w:i/>
          <w:u w:val="single"/>
        </w:rPr>
        <w:t xml:space="preserve">Proposal </w:t>
      </w:r>
      <w:r>
        <w:rPr>
          <w:b/>
          <w:i/>
          <w:u w:val="single"/>
        </w:rPr>
        <w:t>4</w:t>
      </w:r>
      <w:r w:rsidRPr="001C381A">
        <w:rPr>
          <w:b/>
          <w:i/>
          <w:u w:val="single"/>
        </w:rPr>
        <w:t>:</w:t>
      </w:r>
      <w:r>
        <w:rPr>
          <w:i/>
        </w:rPr>
        <w:t xml:space="preserve"> UE polarization capability reporting is not supported.</w:t>
      </w:r>
    </w:p>
    <w:p w14:paraId="32617852" w14:textId="77777777" w:rsidR="00666A64" w:rsidRPr="00BA1F59" w:rsidRDefault="00666A64" w:rsidP="00325905">
      <w:pPr>
        <w:jc w:val="both"/>
        <w:rPr>
          <w:bCs/>
          <w:iCs/>
        </w:rPr>
      </w:pPr>
    </w:p>
    <w:p w14:paraId="2E75F001" w14:textId="77777777" w:rsidR="007E70BB" w:rsidRPr="00A6576F" w:rsidRDefault="005C63AE" w:rsidP="007E70BB">
      <w:pPr>
        <w:pStyle w:val="Heading1"/>
      </w:pPr>
      <w:r w:rsidRPr="00A6576F">
        <w:t>References</w:t>
      </w:r>
    </w:p>
    <w:p w14:paraId="7D1E381A" w14:textId="4131C178" w:rsidR="0008668D" w:rsidRDefault="0008668D" w:rsidP="0008668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861923"/>
      <w:bookmarkStart w:id="2" w:name="_Ref49784839"/>
      <w:bookmarkStart w:id="3" w:name="_Ref30519541"/>
      <w:bookmarkStart w:id="4" w:name="_Ref46861948"/>
      <w:bookmarkStart w:id="5" w:name="_Ref30499280"/>
      <w:r>
        <w:t>RP-</w:t>
      </w:r>
      <w:r w:rsidR="00E6343E">
        <w:t>211557</w:t>
      </w:r>
      <w:r>
        <w:t xml:space="preserve">, </w:t>
      </w:r>
      <w:r w:rsidR="00F66E48">
        <w:t>“</w:t>
      </w:r>
      <w:r>
        <w:t>Solutions for NR to support non-terrestrial networks (NTN),</w:t>
      </w:r>
      <w:r w:rsidR="00F66E48">
        <w:t>”</w:t>
      </w:r>
      <w:r>
        <w:t xml:space="preserve"> </w:t>
      </w:r>
      <w:r w:rsidR="002A4F9C">
        <w:t>Mar</w:t>
      </w:r>
      <w:r>
        <w:t>. 202</w:t>
      </w:r>
      <w:r w:rsidR="002A4F9C">
        <w:t>1</w:t>
      </w:r>
      <w:r>
        <w:t>.</w:t>
      </w:r>
      <w:bookmarkEnd w:id="1"/>
      <w:r>
        <w:t xml:space="preserve"> </w:t>
      </w:r>
    </w:p>
    <w:p w14:paraId="605F6B97" w14:textId="1AE2C868" w:rsidR="0099637F"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0737901"/>
      <w:r>
        <w:t>R1-2</w:t>
      </w:r>
      <w:r w:rsidR="00870CF0">
        <w:t>1</w:t>
      </w:r>
      <w:r>
        <w:t>0</w:t>
      </w:r>
      <w:r w:rsidR="00F84CDE">
        <w:t>8517</w:t>
      </w:r>
      <w:r w:rsidRPr="006609D4">
        <w:t>, “</w:t>
      </w:r>
      <w:r w:rsidR="00F84CDE">
        <w:t>S</w:t>
      </w:r>
      <w:r w:rsidRPr="006609D4">
        <w:rPr>
          <w:rFonts w:cs="Arial"/>
        </w:rPr>
        <w:t>ummary</w:t>
      </w:r>
      <w:r w:rsidR="0008668D">
        <w:rPr>
          <w:rFonts w:cs="Arial"/>
        </w:rPr>
        <w:t xml:space="preserve"> </w:t>
      </w:r>
      <w:r w:rsidR="00F84CDE">
        <w:rPr>
          <w:rFonts w:cs="Arial"/>
        </w:rPr>
        <w:t xml:space="preserve">#3 </w:t>
      </w:r>
      <w:r w:rsidRPr="006609D4">
        <w:rPr>
          <w:rFonts w:cs="Arial"/>
        </w:rPr>
        <w:t>of 8.4.</w:t>
      </w:r>
      <w:r w:rsidR="00D77029" w:rsidRPr="006609D4">
        <w:rPr>
          <w:rFonts w:cs="Arial"/>
        </w:rPr>
        <w:t>4</w:t>
      </w:r>
      <w:r w:rsidRPr="006609D4">
        <w:rPr>
          <w:rFonts w:cs="Arial"/>
        </w:rPr>
        <w:t xml:space="preserve"> </w:t>
      </w:r>
      <w:r w:rsidR="00D77029" w:rsidRPr="006609D4">
        <w:rPr>
          <w:rFonts w:cs="Arial"/>
        </w:rPr>
        <w:t>Other aspects of NR-NTN</w:t>
      </w:r>
      <w:r w:rsidRPr="006609D4">
        <w:t xml:space="preserve">,” </w:t>
      </w:r>
      <w:r w:rsidR="00F84CDE">
        <w:t>Aug.</w:t>
      </w:r>
      <w:r w:rsidRPr="006609D4">
        <w:t xml:space="preserve"> 202</w:t>
      </w:r>
      <w:r w:rsidR="00870CF0">
        <w:t>1</w:t>
      </w:r>
      <w:r w:rsidRPr="006609D4">
        <w:t>.</w:t>
      </w:r>
      <w:bookmarkEnd w:id="2"/>
      <w:bookmarkEnd w:id="6"/>
      <w:r>
        <w:t xml:space="preserve">  </w:t>
      </w:r>
    </w:p>
    <w:p w14:paraId="1E5F7151" w14:textId="7AD66945" w:rsidR="00E6343E" w:rsidRDefault="00E6343E" w:rsidP="00B77C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78188310"/>
      <w:bookmarkStart w:id="8" w:name="_Ref49784738"/>
      <w:bookmarkStart w:id="9" w:name="_Ref65481526"/>
      <w:r>
        <w:t>Chairman’s Notes, 3GPP TSG RAN1 WG1 #10</w:t>
      </w:r>
      <w:r w:rsidR="00F84CDE">
        <w:t>6</w:t>
      </w:r>
      <w:r>
        <w:t xml:space="preserve">-e Meeting, </w:t>
      </w:r>
      <w:r w:rsidR="00F84CDE">
        <w:t>Aug.</w:t>
      </w:r>
      <w:r>
        <w:t xml:space="preserve"> 2021.</w:t>
      </w:r>
      <w:bookmarkEnd w:id="7"/>
    </w:p>
    <w:p w14:paraId="2EB7FBCB" w14:textId="04B8B4C3" w:rsidR="00552782" w:rsidRDefault="00552782" w:rsidP="0055278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60737677"/>
      <w:bookmarkStart w:id="11" w:name="_Ref78187501"/>
      <w:r>
        <w:t>Chairman’s Notes, 3GPP TSG RAN1 WG1 #102-e Meeting, Aug. 2020.</w:t>
      </w:r>
      <w:bookmarkEnd w:id="10"/>
    </w:p>
    <w:p w14:paraId="66348585" w14:textId="578301C5" w:rsidR="005414DE" w:rsidRDefault="005414DE" w:rsidP="005414D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83643622"/>
      <w:r>
        <w:t>Chairman’s Notes, 3GPP TSG RAN1 WG1 #104-e Meeting, Jan. 2021.</w:t>
      </w:r>
      <w:bookmarkEnd w:id="12"/>
    </w:p>
    <w:p w14:paraId="2CF06167" w14:textId="73A3AFCC" w:rsidR="0099637F" w:rsidRDefault="005414DE" w:rsidP="00B77C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78988633"/>
      <w:r>
        <w:t>C</w:t>
      </w:r>
      <w:r w:rsidR="00870CF0">
        <w:t>hairman’s Notes, 3GPP TSG RAN1 WG1 #10</w:t>
      </w:r>
      <w:r>
        <w:t>5</w:t>
      </w:r>
      <w:r w:rsidR="00870CF0">
        <w:t xml:space="preserve">-e Meeting, </w:t>
      </w:r>
      <w:r>
        <w:t xml:space="preserve">May </w:t>
      </w:r>
      <w:r w:rsidR="00870CF0">
        <w:t>2021.</w:t>
      </w:r>
      <w:bookmarkEnd w:id="3"/>
      <w:bookmarkEnd w:id="4"/>
      <w:bookmarkEnd w:id="5"/>
      <w:bookmarkEnd w:id="8"/>
      <w:bookmarkEnd w:id="9"/>
      <w:bookmarkEnd w:id="11"/>
      <w:bookmarkEnd w:id="13"/>
    </w:p>
    <w:sectPr w:rsidR="0099637F"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533BC" w14:textId="77777777" w:rsidR="00613DF7" w:rsidRDefault="00613DF7">
      <w:r>
        <w:separator/>
      </w:r>
    </w:p>
  </w:endnote>
  <w:endnote w:type="continuationSeparator" w:id="0">
    <w:p w14:paraId="1F3B962D" w14:textId="77777777" w:rsidR="00613DF7" w:rsidRDefault="00613DF7">
      <w:r>
        <w:continuationSeparator/>
      </w:r>
    </w:p>
  </w:endnote>
  <w:endnote w:type="continuationNotice" w:id="1">
    <w:p w14:paraId="44242552" w14:textId="77777777" w:rsidR="00613DF7" w:rsidRDefault="00613D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788DC" w14:textId="77777777" w:rsidR="00613DF7" w:rsidRDefault="00613DF7">
      <w:r>
        <w:separator/>
      </w:r>
    </w:p>
  </w:footnote>
  <w:footnote w:type="continuationSeparator" w:id="0">
    <w:p w14:paraId="23C4F35B" w14:textId="77777777" w:rsidR="00613DF7" w:rsidRDefault="00613DF7">
      <w:r>
        <w:continuationSeparator/>
      </w:r>
    </w:p>
  </w:footnote>
  <w:footnote w:type="continuationNotice" w:id="1">
    <w:p w14:paraId="2B9F2778" w14:textId="77777777" w:rsidR="00613DF7" w:rsidRDefault="00613D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97580"/>
    <w:multiLevelType w:val="multilevel"/>
    <w:tmpl w:val="F376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8"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1662E06"/>
    <w:multiLevelType w:val="hybridMultilevel"/>
    <w:tmpl w:val="AB28C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4"/>
  </w:num>
  <w:num w:numId="4">
    <w:abstractNumId w:val="15"/>
  </w:num>
  <w:num w:numId="5">
    <w:abstractNumId w:val="10"/>
  </w:num>
  <w:num w:numId="6">
    <w:abstractNumId w:val="17"/>
  </w:num>
  <w:num w:numId="7">
    <w:abstractNumId w:val="25"/>
  </w:num>
  <w:num w:numId="8">
    <w:abstractNumId w:val="11"/>
  </w:num>
  <w:num w:numId="9">
    <w:abstractNumId w:val="21"/>
  </w:num>
  <w:num w:numId="10">
    <w:abstractNumId w:val="0"/>
  </w:num>
  <w:num w:numId="11">
    <w:abstractNumId w:val="27"/>
  </w:num>
  <w:num w:numId="12">
    <w:abstractNumId w:val="3"/>
  </w:num>
  <w:num w:numId="13">
    <w:abstractNumId w:val="23"/>
  </w:num>
  <w:num w:numId="14">
    <w:abstractNumId w:val="16"/>
  </w:num>
  <w:num w:numId="15">
    <w:abstractNumId w:val="29"/>
  </w:num>
  <w:num w:numId="16">
    <w:abstractNumId w:val="31"/>
  </w:num>
  <w:num w:numId="17">
    <w:abstractNumId w:val="9"/>
  </w:num>
  <w:num w:numId="18">
    <w:abstractNumId w:val="26"/>
  </w:num>
  <w:num w:numId="19">
    <w:abstractNumId w:val="13"/>
  </w:num>
  <w:num w:numId="20">
    <w:abstractNumId w:val="8"/>
  </w:num>
  <w:num w:numId="21">
    <w:abstractNumId w:val="22"/>
  </w:num>
  <w:num w:numId="22">
    <w:abstractNumId w:val="4"/>
  </w:num>
  <w:num w:numId="23">
    <w:abstractNumId w:val="20"/>
  </w:num>
  <w:num w:numId="24">
    <w:abstractNumId w:val="6"/>
  </w:num>
  <w:num w:numId="25">
    <w:abstractNumId w:val="20"/>
  </w:num>
  <w:num w:numId="26">
    <w:abstractNumId w:val="2"/>
  </w:num>
  <w:num w:numId="27">
    <w:abstractNumId w:val="12"/>
  </w:num>
  <w:num w:numId="28">
    <w:abstractNumId w:val="30"/>
  </w:num>
  <w:num w:numId="29">
    <w:abstractNumId w:val="28"/>
  </w:num>
  <w:num w:numId="30">
    <w:abstractNumId w:val="7"/>
  </w:num>
  <w:num w:numId="31">
    <w:abstractNumId w:val="24"/>
  </w:num>
  <w:num w:numId="32">
    <w:abstractNumId w:val="5"/>
  </w:num>
  <w:num w:numId="3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16C"/>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6C0"/>
    <w:rsid w:val="000444EF"/>
    <w:rsid w:val="00044942"/>
    <w:rsid w:val="00044BF7"/>
    <w:rsid w:val="00045523"/>
    <w:rsid w:val="00045EB6"/>
    <w:rsid w:val="000460EB"/>
    <w:rsid w:val="000468D3"/>
    <w:rsid w:val="00046F1C"/>
    <w:rsid w:val="00047568"/>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200"/>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0CEF"/>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8D"/>
    <w:rsid w:val="000866F2"/>
    <w:rsid w:val="00086ABF"/>
    <w:rsid w:val="00086AFB"/>
    <w:rsid w:val="00086B78"/>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3A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252"/>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B28"/>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C59"/>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118"/>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5E39"/>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626"/>
    <w:rsid w:val="00130B6B"/>
    <w:rsid w:val="00130D0E"/>
    <w:rsid w:val="00131A54"/>
    <w:rsid w:val="00131E55"/>
    <w:rsid w:val="0013216D"/>
    <w:rsid w:val="0013219E"/>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78B"/>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85"/>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0E"/>
    <w:rsid w:val="001A1987"/>
    <w:rsid w:val="001A2564"/>
    <w:rsid w:val="001A2707"/>
    <w:rsid w:val="001A279E"/>
    <w:rsid w:val="001A3324"/>
    <w:rsid w:val="001A33C5"/>
    <w:rsid w:val="001A464A"/>
    <w:rsid w:val="001A48E8"/>
    <w:rsid w:val="001A4AD0"/>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4B19"/>
    <w:rsid w:val="001C5118"/>
    <w:rsid w:val="001C5574"/>
    <w:rsid w:val="001C5726"/>
    <w:rsid w:val="001C6495"/>
    <w:rsid w:val="001C7019"/>
    <w:rsid w:val="001C7241"/>
    <w:rsid w:val="001C72C0"/>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1A37"/>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F9C"/>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BB1"/>
    <w:rsid w:val="002B6CA5"/>
    <w:rsid w:val="002B73E3"/>
    <w:rsid w:val="002B7E95"/>
    <w:rsid w:val="002C02EA"/>
    <w:rsid w:val="002C056C"/>
    <w:rsid w:val="002C087A"/>
    <w:rsid w:val="002C0960"/>
    <w:rsid w:val="002C1AAA"/>
    <w:rsid w:val="002C2156"/>
    <w:rsid w:val="002C2322"/>
    <w:rsid w:val="002C28C9"/>
    <w:rsid w:val="002C2B77"/>
    <w:rsid w:val="002C358A"/>
    <w:rsid w:val="002C3947"/>
    <w:rsid w:val="002C3A69"/>
    <w:rsid w:val="002C3C7A"/>
    <w:rsid w:val="002C3D9E"/>
    <w:rsid w:val="002C41E6"/>
    <w:rsid w:val="002C476C"/>
    <w:rsid w:val="002C50A5"/>
    <w:rsid w:val="002C5303"/>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2ED2"/>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FA2"/>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1D"/>
    <w:rsid w:val="00315787"/>
    <w:rsid w:val="003158EF"/>
    <w:rsid w:val="00315C6E"/>
    <w:rsid w:val="0031632F"/>
    <w:rsid w:val="00317197"/>
    <w:rsid w:val="003177EB"/>
    <w:rsid w:val="00317EEF"/>
    <w:rsid w:val="003203ED"/>
    <w:rsid w:val="003208B0"/>
    <w:rsid w:val="00320E22"/>
    <w:rsid w:val="003212DB"/>
    <w:rsid w:val="00322154"/>
    <w:rsid w:val="003222AB"/>
    <w:rsid w:val="003226E1"/>
    <w:rsid w:val="00322C9F"/>
    <w:rsid w:val="00323ACB"/>
    <w:rsid w:val="00323EED"/>
    <w:rsid w:val="00324402"/>
    <w:rsid w:val="0032487D"/>
    <w:rsid w:val="003249E4"/>
    <w:rsid w:val="00324D23"/>
    <w:rsid w:val="0032515B"/>
    <w:rsid w:val="003251B5"/>
    <w:rsid w:val="0032590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37322"/>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650"/>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FA6"/>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41E"/>
    <w:rsid w:val="003A4100"/>
    <w:rsid w:val="003A449F"/>
    <w:rsid w:val="003A45A1"/>
    <w:rsid w:val="003A4FBA"/>
    <w:rsid w:val="003A52F5"/>
    <w:rsid w:val="003A5B0A"/>
    <w:rsid w:val="003A6268"/>
    <w:rsid w:val="003A6BAC"/>
    <w:rsid w:val="003A6CFA"/>
    <w:rsid w:val="003A71F2"/>
    <w:rsid w:val="003A723A"/>
    <w:rsid w:val="003A7AEF"/>
    <w:rsid w:val="003A7EF3"/>
    <w:rsid w:val="003B0554"/>
    <w:rsid w:val="003B05BE"/>
    <w:rsid w:val="003B13B9"/>
    <w:rsid w:val="003B159C"/>
    <w:rsid w:val="003B1A36"/>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3"/>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0F6E"/>
    <w:rsid w:val="00441475"/>
    <w:rsid w:val="004414EF"/>
    <w:rsid w:val="004418DE"/>
    <w:rsid w:val="00441A92"/>
    <w:rsid w:val="004424BC"/>
    <w:rsid w:val="00442B6F"/>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4A0"/>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D14"/>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0F07"/>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EB8"/>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5CEC"/>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75C"/>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39"/>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4DE"/>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782"/>
    <w:rsid w:val="005528EC"/>
    <w:rsid w:val="00553221"/>
    <w:rsid w:val="00553377"/>
    <w:rsid w:val="0055357E"/>
    <w:rsid w:val="00553598"/>
    <w:rsid w:val="00553DD6"/>
    <w:rsid w:val="00553E17"/>
    <w:rsid w:val="005545B8"/>
    <w:rsid w:val="00554E19"/>
    <w:rsid w:val="00556504"/>
    <w:rsid w:val="00556E14"/>
    <w:rsid w:val="00560280"/>
    <w:rsid w:val="00560304"/>
    <w:rsid w:val="00561197"/>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D0B"/>
    <w:rsid w:val="00581F3E"/>
    <w:rsid w:val="00582809"/>
    <w:rsid w:val="00582E08"/>
    <w:rsid w:val="00582E97"/>
    <w:rsid w:val="00583C22"/>
    <w:rsid w:val="00583C62"/>
    <w:rsid w:val="00584529"/>
    <w:rsid w:val="00584668"/>
    <w:rsid w:val="00585462"/>
    <w:rsid w:val="00586FEE"/>
    <w:rsid w:val="00587018"/>
    <w:rsid w:val="0058798C"/>
    <w:rsid w:val="005900FA"/>
    <w:rsid w:val="005901CF"/>
    <w:rsid w:val="0059035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CA7"/>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8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62D"/>
    <w:rsid w:val="00612756"/>
    <w:rsid w:val="00612775"/>
    <w:rsid w:val="00612CBC"/>
    <w:rsid w:val="00613257"/>
    <w:rsid w:val="00613299"/>
    <w:rsid w:val="006137D4"/>
    <w:rsid w:val="00613A70"/>
    <w:rsid w:val="00613DF7"/>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09D4"/>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A64"/>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58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424"/>
    <w:rsid w:val="006C7522"/>
    <w:rsid w:val="006D0A7E"/>
    <w:rsid w:val="006D0B1B"/>
    <w:rsid w:val="006D0B9C"/>
    <w:rsid w:val="006D1806"/>
    <w:rsid w:val="006D1B3A"/>
    <w:rsid w:val="006D1F73"/>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4BA"/>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AEF"/>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3B42"/>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3DE"/>
    <w:rsid w:val="00763A6D"/>
    <w:rsid w:val="00764EBC"/>
    <w:rsid w:val="00764FBD"/>
    <w:rsid w:val="007651F7"/>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2EC"/>
    <w:rsid w:val="007875D4"/>
    <w:rsid w:val="00787CEA"/>
    <w:rsid w:val="0079005B"/>
    <w:rsid w:val="007903B3"/>
    <w:rsid w:val="00790AAA"/>
    <w:rsid w:val="00790B0C"/>
    <w:rsid w:val="00790E4F"/>
    <w:rsid w:val="00791088"/>
    <w:rsid w:val="00791950"/>
    <w:rsid w:val="00792412"/>
    <w:rsid w:val="007925EA"/>
    <w:rsid w:val="00792770"/>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C68"/>
    <w:rsid w:val="007C60BF"/>
    <w:rsid w:val="007C6A07"/>
    <w:rsid w:val="007C71F3"/>
    <w:rsid w:val="007C7350"/>
    <w:rsid w:val="007C75A1"/>
    <w:rsid w:val="007C77A5"/>
    <w:rsid w:val="007C7C91"/>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69FE"/>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AA2"/>
    <w:rsid w:val="00866A86"/>
    <w:rsid w:val="008677FD"/>
    <w:rsid w:val="00867F7D"/>
    <w:rsid w:val="00867F91"/>
    <w:rsid w:val="00870579"/>
    <w:rsid w:val="008706D4"/>
    <w:rsid w:val="00870997"/>
    <w:rsid w:val="00870CF0"/>
    <w:rsid w:val="00870F8A"/>
    <w:rsid w:val="0087129E"/>
    <w:rsid w:val="0087143B"/>
    <w:rsid w:val="00871527"/>
    <w:rsid w:val="008719A4"/>
    <w:rsid w:val="00871D23"/>
    <w:rsid w:val="00871F8C"/>
    <w:rsid w:val="0087287E"/>
    <w:rsid w:val="00873732"/>
    <w:rsid w:val="00873D37"/>
    <w:rsid w:val="00873F28"/>
    <w:rsid w:val="008741A4"/>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6F"/>
    <w:rsid w:val="008804BF"/>
    <w:rsid w:val="00880622"/>
    <w:rsid w:val="00880810"/>
    <w:rsid w:val="00881625"/>
    <w:rsid w:val="00881C1B"/>
    <w:rsid w:val="00882C47"/>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11E"/>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5FF2"/>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DB7"/>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6602"/>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7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8D8"/>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E43"/>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5D1"/>
    <w:rsid w:val="00995DBD"/>
    <w:rsid w:val="009960EC"/>
    <w:rsid w:val="0099637F"/>
    <w:rsid w:val="00996B44"/>
    <w:rsid w:val="00996D62"/>
    <w:rsid w:val="00996ED7"/>
    <w:rsid w:val="009970CC"/>
    <w:rsid w:val="009970DD"/>
    <w:rsid w:val="009977B1"/>
    <w:rsid w:val="00997ADB"/>
    <w:rsid w:val="00997BF9"/>
    <w:rsid w:val="009A0442"/>
    <w:rsid w:val="009A0927"/>
    <w:rsid w:val="009A0FBA"/>
    <w:rsid w:val="009A13E6"/>
    <w:rsid w:val="009A153C"/>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457"/>
    <w:rsid w:val="009B2F4F"/>
    <w:rsid w:val="009B3757"/>
    <w:rsid w:val="009B3AC2"/>
    <w:rsid w:val="009B43DF"/>
    <w:rsid w:val="009B47A1"/>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C51"/>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DCF"/>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066"/>
    <w:rsid w:val="00A21369"/>
    <w:rsid w:val="00A2193B"/>
    <w:rsid w:val="00A220C5"/>
    <w:rsid w:val="00A2279A"/>
    <w:rsid w:val="00A23156"/>
    <w:rsid w:val="00A2351A"/>
    <w:rsid w:val="00A23801"/>
    <w:rsid w:val="00A23F02"/>
    <w:rsid w:val="00A23FCF"/>
    <w:rsid w:val="00A241CC"/>
    <w:rsid w:val="00A2474B"/>
    <w:rsid w:val="00A24A46"/>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04DA"/>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B01D2"/>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95C"/>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27F"/>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A20"/>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26D4"/>
    <w:rsid w:val="00B139E0"/>
    <w:rsid w:val="00B13E74"/>
    <w:rsid w:val="00B152F4"/>
    <w:rsid w:val="00B1542D"/>
    <w:rsid w:val="00B157F9"/>
    <w:rsid w:val="00B15F66"/>
    <w:rsid w:val="00B16272"/>
    <w:rsid w:val="00B16606"/>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7B9"/>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5BEF"/>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CEA"/>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1F59"/>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46FF"/>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E37"/>
    <w:rsid w:val="00BD5F1A"/>
    <w:rsid w:val="00BD619F"/>
    <w:rsid w:val="00BD721C"/>
    <w:rsid w:val="00BD7A8B"/>
    <w:rsid w:val="00BD7F16"/>
    <w:rsid w:val="00BE0841"/>
    <w:rsid w:val="00BE0B97"/>
    <w:rsid w:val="00BE0BF1"/>
    <w:rsid w:val="00BE0C2D"/>
    <w:rsid w:val="00BE1234"/>
    <w:rsid w:val="00BE191B"/>
    <w:rsid w:val="00BE1E63"/>
    <w:rsid w:val="00BE1FD4"/>
    <w:rsid w:val="00BE2FA6"/>
    <w:rsid w:val="00BE333F"/>
    <w:rsid w:val="00BE38DC"/>
    <w:rsid w:val="00BE3DB9"/>
    <w:rsid w:val="00BE3F9C"/>
    <w:rsid w:val="00BE45B3"/>
    <w:rsid w:val="00BE4818"/>
    <w:rsid w:val="00BE5A09"/>
    <w:rsid w:val="00BE5A2F"/>
    <w:rsid w:val="00BE5EAE"/>
    <w:rsid w:val="00BE622F"/>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7BE"/>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46CD"/>
    <w:rsid w:val="00C05706"/>
    <w:rsid w:val="00C05E8E"/>
    <w:rsid w:val="00C06082"/>
    <w:rsid w:val="00C06169"/>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540"/>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2DB"/>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1CD"/>
    <w:rsid w:val="00C96D0C"/>
    <w:rsid w:val="00C9735B"/>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A40"/>
    <w:rsid w:val="00CA6F09"/>
    <w:rsid w:val="00CA7373"/>
    <w:rsid w:val="00CB09D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3F00"/>
    <w:rsid w:val="00D146FC"/>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4BF5"/>
    <w:rsid w:val="00D251A0"/>
    <w:rsid w:val="00D25491"/>
    <w:rsid w:val="00D25557"/>
    <w:rsid w:val="00D2556A"/>
    <w:rsid w:val="00D26B67"/>
    <w:rsid w:val="00D26BF0"/>
    <w:rsid w:val="00D26C20"/>
    <w:rsid w:val="00D27F67"/>
    <w:rsid w:val="00D3005B"/>
    <w:rsid w:val="00D30160"/>
    <w:rsid w:val="00D31B35"/>
    <w:rsid w:val="00D324E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882"/>
    <w:rsid w:val="00D470E6"/>
    <w:rsid w:val="00D476B2"/>
    <w:rsid w:val="00D47F3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2D9"/>
    <w:rsid w:val="00D73427"/>
    <w:rsid w:val="00D73A16"/>
    <w:rsid w:val="00D74277"/>
    <w:rsid w:val="00D74AEC"/>
    <w:rsid w:val="00D75936"/>
    <w:rsid w:val="00D77029"/>
    <w:rsid w:val="00D7751A"/>
    <w:rsid w:val="00D77B1D"/>
    <w:rsid w:val="00D8021F"/>
    <w:rsid w:val="00D80383"/>
    <w:rsid w:val="00D80ADB"/>
    <w:rsid w:val="00D80B3E"/>
    <w:rsid w:val="00D819E8"/>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431"/>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000"/>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20"/>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7EE"/>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EC3"/>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4A2"/>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43E"/>
    <w:rsid w:val="00E63838"/>
    <w:rsid w:val="00E6427E"/>
    <w:rsid w:val="00E64434"/>
    <w:rsid w:val="00E64647"/>
    <w:rsid w:val="00E64739"/>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86D"/>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21"/>
    <w:rsid w:val="00ED0158"/>
    <w:rsid w:val="00ED01F1"/>
    <w:rsid w:val="00ED1006"/>
    <w:rsid w:val="00ED1185"/>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ADF"/>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29F1"/>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FA6"/>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89D"/>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6E48"/>
    <w:rsid w:val="00F672CB"/>
    <w:rsid w:val="00F676FE"/>
    <w:rsid w:val="00F678AD"/>
    <w:rsid w:val="00F67ABA"/>
    <w:rsid w:val="00F67B02"/>
    <w:rsid w:val="00F67DCB"/>
    <w:rsid w:val="00F67F53"/>
    <w:rsid w:val="00F703BE"/>
    <w:rsid w:val="00F7060A"/>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4CDE"/>
    <w:rsid w:val="00F85349"/>
    <w:rsid w:val="00F8539B"/>
    <w:rsid w:val="00F8586A"/>
    <w:rsid w:val="00F859D8"/>
    <w:rsid w:val="00F85CA4"/>
    <w:rsid w:val="00F862DA"/>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B6B"/>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5FAA"/>
    <w:rsid w:val="00FB6A6A"/>
    <w:rsid w:val="00FB6AF7"/>
    <w:rsid w:val="00FB72D9"/>
    <w:rsid w:val="00FB743F"/>
    <w:rsid w:val="00FB7CAE"/>
    <w:rsid w:val="00FC037F"/>
    <w:rsid w:val="00FC132F"/>
    <w:rsid w:val="00FC14D6"/>
    <w:rsid w:val="00FC224E"/>
    <w:rsid w:val="00FC2594"/>
    <w:rsid w:val="00FC2C6B"/>
    <w:rsid w:val="00FC2F90"/>
    <w:rsid w:val="00FC3B35"/>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0FE5"/>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497</TotalTime>
  <Pages>3</Pages>
  <Words>1145</Words>
  <Characters>5592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44</cp:revision>
  <cp:lastPrinted>2020-01-28T01:17:00Z</cp:lastPrinted>
  <dcterms:created xsi:type="dcterms:W3CDTF">2019-09-23T20:25:00Z</dcterms:created>
  <dcterms:modified xsi:type="dcterms:W3CDTF">2021-10-01T01:51:00Z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